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3216E" w14:textId="77777777" w:rsidR="00B3067F" w:rsidRPr="009E52AD" w:rsidRDefault="00B3067F" w:rsidP="00B3067F">
      <w:pPr>
        <w:spacing w:after="0"/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</w:pPr>
      <w:r w:rsidRPr="009E52AD"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  <w:t xml:space="preserve">Chers élèves, chers parents, </w:t>
      </w:r>
    </w:p>
    <w:p w14:paraId="6FA63F8B" w14:textId="77777777" w:rsidR="00B3067F" w:rsidRPr="009E52AD" w:rsidRDefault="00B3067F" w:rsidP="00B3067F">
      <w:pPr>
        <w:spacing w:after="0"/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</w:pPr>
    </w:p>
    <w:p w14:paraId="57E0A0E0" w14:textId="77777777" w:rsidR="00B3067F" w:rsidRPr="009E52AD" w:rsidRDefault="00B3067F" w:rsidP="00B3067F">
      <w:pPr>
        <w:spacing w:after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</w:pPr>
      <w:r w:rsidRPr="009E52AD"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  <w:t>En cette fin d’année si particulière, vos professeurs vous souhaitent de bonnes vacances reposantes.</w:t>
      </w:r>
    </w:p>
    <w:p w14:paraId="46415B04" w14:textId="40C3210C" w:rsidR="009E52AD" w:rsidRDefault="00B3067F" w:rsidP="00B3067F">
      <w:pPr>
        <w:spacing w:after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</w:pPr>
      <w:r w:rsidRPr="009E52AD"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  <w:br/>
      </w:r>
      <w:r w:rsidRPr="009E52AD"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  <w:t xml:space="preserve">Vous avez choisi </w:t>
      </w:r>
      <w:r w:rsidR="009E52AD"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  <w:t xml:space="preserve">pour l’année prochaine </w:t>
      </w:r>
      <w:r w:rsidRPr="009E52AD"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  <w:t xml:space="preserve">l’enseignement de spécialité </w:t>
      </w:r>
      <w:r w:rsidRPr="009E52AD"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  <w:t>Humanités, Littérature et Philosophie</w:t>
      </w:r>
      <w:r w:rsidR="009E52AD"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  <w:t xml:space="preserve">, qui vous apportera une ouverture culturelle fondamentale, valorisée dans de nombreux parcours d’orientation (classes préparatoires, écoles de commerce, écoles d’ingénieurs, communication…). </w:t>
      </w:r>
    </w:p>
    <w:p w14:paraId="3BD45132" w14:textId="77777777" w:rsidR="009E52AD" w:rsidRDefault="009E52AD" w:rsidP="00B3067F">
      <w:pPr>
        <w:spacing w:after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</w:pPr>
    </w:p>
    <w:p w14:paraId="65DFEA52" w14:textId="45570E6F" w:rsidR="00B3067F" w:rsidRDefault="009E52AD" w:rsidP="00B3067F">
      <w:pPr>
        <w:spacing w:after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  <w:t>L</w:t>
      </w:r>
      <w:r w:rsidR="00B3067F" w:rsidRPr="009E52AD"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  <w:t xml:space="preserve">es deux thèmes au programme de </w:t>
      </w:r>
      <w:proofErr w:type="spellStart"/>
      <w:r w:rsidR="00B3067F" w:rsidRPr="009E52AD"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  <w:t>la</w:t>
      </w:r>
      <w:proofErr w:type="spellEnd"/>
      <w:r w:rsidR="00B3067F" w:rsidRPr="009E52AD"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  <w:t xml:space="preserve"> classe de Première sont les suivants :  L</w:t>
      </w:r>
      <w:r w:rsidRPr="009E52AD"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  <w:t xml:space="preserve">es pouvoirs </w:t>
      </w:r>
      <w:r w:rsidR="00B3067F" w:rsidRPr="009E52AD"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  <w:t>de la parole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  <w:t xml:space="preserve"> (thème centré sur l’Antiquité)</w:t>
      </w:r>
      <w:r w:rsidRPr="009E52AD"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  <w:t>,</w:t>
      </w:r>
      <w:r w:rsidR="00B3067F" w:rsidRPr="009E52AD"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  <w:t xml:space="preserve"> et les représentations du monde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  <w:t xml:space="preserve"> (thème centré sur la Renaissance et les Lumières)</w:t>
      </w:r>
      <w:r w:rsidR="00B3067F" w:rsidRPr="009E52AD"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  <w:t>.</w:t>
      </w:r>
    </w:p>
    <w:p w14:paraId="1FC45610" w14:textId="77777777" w:rsidR="009E52AD" w:rsidRPr="009E52AD" w:rsidRDefault="009E52AD" w:rsidP="00B3067F">
      <w:pPr>
        <w:spacing w:after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</w:pPr>
    </w:p>
    <w:p w14:paraId="1049FBF5" w14:textId="7CF8769D" w:rsidR="009E52AD" w:rsidRPr="009E52AD" w:rsidRDefault="009E52AD" w:rsidP="00B3067F">
      <w:pPr>
        <w:spacing w:after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</w:pPr>
      <w:r w:rsidRPr="009E52AD"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  <w:t>Pour préparer cet enseignement, nous vous conseillons les œuvres suivantes :</w:t>
      </w:r>
    </w:p>
    <w:p w14:paraId="5A2D3CC8" w14:textId="24DD9148" w:rsidR="00B3067F" w:rsidRPr="009E52AD" w:rsidRDefault="00B3067F" w:rsidP="00B3067F">
      <w:pPr>
        <w:spacing w:after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</w:pPr>
    </w:p>
    <w:p w14:paraId="631B47DA" w14:textId="3CAA99CF" w:rsidR="009E52AD" w:rsidRPr="009E52AD" w:rsidRDefault="009E52AD" w:rsidP="00B3067F">
      <w:pPr>
        <w:spacing w:after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</w:pPr>
      <w:r w:rsidRPr="009E52AD"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  <w:t>A lire :</w:t>
      </w:r>
    </w:p>
    <w:p w14:paraId="0367F3B2" w14:textId="77777777" w:rsidR="009E52AD" w:rsidRPr="009E52AD" w:rsidRDefault="00B3067F" w:rsidP="009E52AD">
      <w:pPr>
        <w:pStyle w:val="Paragraphedeliste"/>
        <w:numPr>
          <w:ilvl w:val="0"/>
          <w:numId w:val="2"/>
        </w:numPr>
        <w:jc w:val="both"/>
        <w:rPr>
          <w:rFonts w:ascii="Book Antiqua" w:hAnsi="Book Antiqua" w:cs="Times New Roman"/>
          <w:sz w:val="24"/>
          <w:szCs w:val="24"/>
        </w:rPr>
      </w:pPr>
      <w:r w:rsidRPr="009E52AD">
        <w:rPr>
          <w:rFonts w:ascii="Book Antiqua" w:hAnsi="Book Antiqua" w:cs="Times New Roman"/>
          <w:sz w:val="24"/>
          <w:szCs w:val="24"/>
        </w:rPr>
        <w:t>Schopenhauer</w:t>
      </w:r>
      <w:r w:rsidR="009E52AD" w:rsidRPr="009E52AD">
        <w:rPr>
          <w:rFonts w:ascii="Book Antiqua" w:hAnsi="Book Antiqua" w:cs="Times New Roman"/>
          <w:sz w:val="24"/>
          <w:szCs w:val="24"/>
        </w:rPr>
        <w:t xml:space="preserve">, </w:t>
      </w:r>
      <w:r w:rsidR="009E52AD" w:rsidRPr="009E52AD">
        <w:rPr>
          <w:rFonts w:ascii="Book Antiqua" w:hAnsi="Book Antiqua" w:cs="Times New Roman"/>
          <w:i/>
          <w:iCs/>
          <w:sz w:val="24"/>
          <w:szCs w:val="24"/>
        </w:rPr>
        <w:t>L’art d’avoir toujours raison</w:t>
      </w:r>
      <w:r w:rsidR="009E52AD" w:rsidRPr="009E52AD">
        <w:rPr>
          <w:rFonts w:ascii="Book Antiqua" w:hAnsi="Book Antiqua" w:cs="Times New Roman"/>
          <w:sz w:val="24"/>
          <w:szCs w:val="24"/>
        </w:rPr>
        <w:t xml:space="preserve"> </w:t>
      </w:r>
    </w:p>
    <w:p w14:paraId="11B6DE41" w14:textId="274BE003" w:rsidR="00B3067F" w:rsidRPr="009E52AD" w:rsidRDefault="009E52AD" w:rsidP="009E52AD">
      <w:pPr>
        <w:pStyle w:val="Paragraphedeliste"/>
        <w:numPr>
          <w:ilvl w:val="0"/>
          <w:numId w:val="2"/>
        </w:numPr>
        <w:jc w:val="both"/>
        <w:rPr>
          <w:rFonts w:ascii="Book Antiqua" w:hAnsi="Book Antiqua" w:cs="Times New Roman"/>
          <w:sz w:val="24"/>
          <w:szCs w:val="24"/>
        </w:rPr>
      </w:pPr>
      <w:r w:rsidRPr="009E52AD">
        <w:rPr>
          <w:rFonts w:ascii="Book Antiqua" w:hAnsi="Book Antiqua" w:cs="Times New Roman"/>
          <w:sz w:val="24"/>
          <w:szCs w:val="24"/>
        </w:rPr>
        <w:t xml:space="preserve">Platon, </w:t>
      </w:r>
      <w:r w:rsidR="00B3067F" w:rsidRPr="009E52AD">
        <w:rPr>
          <w:rFonts w:ascii="Book Antiqua" w:hAnsi="Book Antiqua" w:cs="Times New Roman"/>
          <w:i/>
          <w:iCs/>
          <w:sz w:val="24"/>
          <w:szCs w:val="24"/>
        </w:rPr>
        <w:t>Le Banquet</w:t>
      </w:r>
      <w:r w:rsidR="00B3067F" w:rsidRPr="009E52AD">
        <w:rPr>
          <w:rFonts w:ascii="Book Antiqua" w:hAnsi="Book Antiqua" w:cs="Times New Roman"/>
          <w:sz w:val="24"/>
          <w:szCs w:val="24"/>
        </w:rPr>
        <w:t xml:space="preserve"> </w:t>
      </w:r>
      <w:r w:rsidRPr="009E52AD">
        <w:rPr>
          <w:rFonts w:ascii="Book Antiqua" w:hAnsi="Book Antiqua" w:cs="Times New Roman"/>
          <w:sz w:val="24"/>
          <w:szCs w:val="24"/>
        </w:rPr>
        <w:t xml:space="preserve">(soit version livre, soit la version BD adaptée par R. </w:t>
      </w:r>
      <w:proofErr w:type="spellStart"/>
      <w:r w:rsidRPr="009E52AD">
        <w:rPr>
          <w:rFonts w:ascii="Book Antiqua" w:hAnsi="Book Antiqua" w:cs="Times New Roman"/>
          <w:sz w:val="24"/>
          <w:szCs w:val="24"/>
        </w:rPr>
        <w:t>Enthoven</w:t>
      </w:r>
      <w:proofErr w:type="spellEnd"/>
      <w:r w:rsidRPr="009E52AD">
        <w:rPr>
          <w:rFonts w:ascii="Book Antiqua" w:hAnsi="Book Antiqua" w:cs="Times New Roman"/>
          <w:sz w:val="24"/>
          <w:szCs w:val="24"/>
        </w:rPr>
        <w:t xml:space="preserve"> et Coco)</w:t>
      </w:r>
    </w:p>
    <w:p w14:paraId="5350FE90" w14:textId="77777777" w:rsidR="00B3067F" w:rsidRPr="009E52AD" w:rsidRDefault="00B3067F" w:rsidP="00B3067F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9E52AD">
        <w:rPr>
          <w:rFonts w:ascii="Book Antiqua" w:hAnsi="Book Antiqua"/>
          <w:b/>
          <w:bCs/>
          <w:sz w:val="24"/>
          <w:szCs w:val="24"/>
          <w:u w:val="single"/>
        </w:rPr>
        <w:t>A voir</w:t>
      </w:r>
      <w:r w:rsidRPr="009E52AD">
        <w:rPr>
          <w:rFonts w:ascii="Book Antiqua" w:hAnsi="Book Antiqua"/>
          <w:sz w:val="24"/>
          <w:szCs w:val="24"/>
        </w:rPr>
        <w:t xml:space="preserve"> : </w:t>
      </w:r>
    </w:p>
    <w:p w14:paraId="623C4742" w14:textId="77777777" w:rsidR="009E52AD" w:rsidRPr="009E52AD" w:rsidRDefault="00B3067F" w:rsidP="009E52AD">
      <w:pPr>
        <w:pStyle w:val="Paragraphedeliste"/>
        <w:numPr>
          <w:ilvl w:val="0"/>
          <w:numId w:val="2"/>
        </w:numPr>
        <w:jc w:val="both"/>
        <w:rPr>
          <w:rFonts w:ascii="Book Antiqua" w:hAnsi="Book Antiqua" w:cs="Times New Roman"/>
          <w:sz w:val="24"/>
          <w:szCs w:val="24"/>
        </w:rPr>
      </w:pPr>
      <w:r w:rsidRPr="009E52AD">
        <w:rPr>
          <w:rFonts w:ascii="Book Antiqua" w:hAnsi="Book Antiqua" w:cs="Times New Roman"/>
          <w:i/>
          <w:iCs/>
          <w:sz w:val="24"/>
          <w:szCs w:val="24"/>
        </w:rPr>
        <w:t>A voix Haute</w:t>
      </w:r>
      <w:r w:rsidR="009E52AD" w:rsidRPr="009E52AD">
        <w:rPr>
          <w:rFonts w:ascii="Book Antiqua" w:hAnsi="Book Antiqua" w:cs="Times New Roman"/>
          <w:i/>
          <w:iCs/>
          <w:sz w:val="24"/>
          <w:szCs w:val="24"/>
        </w:rPr>
        <w:t> : la force de la parole</w:t>
      </w:r>
      <w:r w:rsidR="009E52AD" w:rsidRPr="009E52AD">
        <w:rPr>
          <w:rFonts w:ascii="Book Antiqua" w:hAnsi="Book Antiqua" w:cs="Times New Roman"/>
          <w:sz w:val="24"/>
          <w:szCs w:val="24"/>
        </w:rPr>
        <w:t xml:space="preserve"> (documentaire de </w:t>
      </w:r>
      <w:r w:rsidR="009E52AD" w:rsidRPr="009E52AD">
        <w:rPr>
          <w:rFonts w:ascii="Book Antiqua" w:hAnsi="Book Antiqua" w:cs="Arial"/>
          <w:shd w:val="clear" w:color="auto" w:fill="FFFFFF"/>
        </w:rPr>
        <w:t xml:space="preserve">Stéphane De Freitas et </w:t>
      </w:r>
      <w:proofErr w:type="spellStart"/>
      <w:r w:rsidR="009E52AD" w:rsidRPr="009E52AD">
        <w:rPr>
          <w:rFonts w:ascii="Book Antiqua" w:hAnsi="Book Antiqua" w:cs="Arial"/>
          <w:shd w:val="clear" w:color="auto" w:fill="FFFFFF"/>
        </w:rPr>
        <w:t>Ladj</w:t>
      </w:r>
      <w:proofErr w:type="spellEnd"/>
      <w:r w:rsidR="009E52AD" w:rsidRPr="009E52AD">
        <w:rPr>
          <w:rFonts w:ascii="Book Antiqua" w:hAnsi="Book Antiqua" w:cs="Arial"/>
          <w:shd w:val="clear" w:color="auto" w:fill="FFFFFF"/>
        </w:rPr>
        <w:t xml:space="preserve"> Ly.</w:t>
      </w:r>
      <w:r w:rsidR="009E52AD" w:rsidRPr="009E52AD">
        <w:rPr>
          <w:rFonts w:ascii="Book Antiqua" w:hAnsi="Book Antiqua" w:cs="Arial"/>
          <w:shd w:val="clear" w:color="auto" w:fill="FFFFFF"/>
        </w:rPr>
        <w:t xml:space="preserve">) </w:t>
      </w:r>
      <w:r w:rsidRPr="009E52AD">
        <w:rPr>
          <w:rFonts w:ascii="Book Antiqua" w:hAnsi="Book Antiqua" w:cs="Times New Roman"/>
          <w:sz w:val="28"/>
          <w:szCs w:val="28"/>
        </w:rPr>
        <w:t xml:space="preserve"> </w:t>
      </w:r>
    </w:p>
    <w:p w14:paraId="1D67F000" w14:textId="21979213" w:rsidR="00B3067F" w:rsidRPr="009E52AD" w:rsidRDefault="00B3067F" w:rsidP="009E52AD">
      <w:pPr>
        <w:pStyle w:val="Paragraphedeliste"/>
        <w:numPr>
          <w:ilvl w:val="0"/>
          <w:numId w:val="2"/>
        </w:numPr>
        <w:jc w:val="both"/>
        <w:rPr>
          <w:rFonts w:ascii="Book Antiqua" w:hAnsi="Book Antiqua" w:cs="Times New Roman"/>
          <w:sz w:val="24"/>
          <w:szCs w:val="24"/>
        </w:rPr>
      </w:pPr>
      <w:r w:rsidRPr="009E52AD">
        <w:rPr>
          <w:rFonts w:ascii="Book Antiqua" w:hAnsi="Book Antiqua" w:cs="Times New Roman"/>
          <w:i/>
          <w:iCs/>
          <w:sz w:val="24"/>
          <w:szCs w:val="24"/>
        </w:rPr>
        <w:t>Le Brio</w:t>
      </w:r>
      <w:r w:rsidRPr="009E52AD">
        <w:rPr>
          <w:rFonts w:ascii="Book Antiqua" w:hAnsi="Book Antiqua" w:cs="Times New Roman"/>
          <w:sz w:val="24"/>
          <w:szCs w:val="24"/>
        </w:rPr>
        <w:t xml:space="preserve"> (</w:t>
      </w:r>
      <w:r w:rsidR="009E52AD" w:rsidRPr="009E52AD">
        <w:rPr>
          <w:rFonts w:ascii="Book Antiqua" w:hAnsi="Book Antiqua" w:cs="Times New Roman"/>
          <w:sz w:val="24"/>
          <w:szCs w:val="24"/>
        </w:rPr>
        <w:t>film d’</w:t>
      </w:r>
      <w:r w:rsidRPr="009E52AD">
        <w:rPr>
          <w:rFonts w:ascii="Book Antiqua" w:hAnsi="Book Antiqua" w:cs="Times New Roman"/>
          <w:sz w:val="24"/>
          <w:szCs w:val="24"/>
        </w:rPr>
        <w:t>Yvan Attal)</w:t>
      </w:r>
    </w:p>
    <w:p w14:paraId="77239F30" w14:textId="485D3B6B" w:rsidR="009E52AD" w:rsidRPr="009E52AD" w:rsidRDefault="00B3067F" w:rsidP="009E52AD">
      <w:pPr>
        <w:jc w:val="both"/>
        <w:rPr>
          <w:rFonts w:ascii="Book Antiqua" w:hAnsi="Book Antiqua" w:cs="Times New Roman"/>
          <w:sz w:val="24"/>
          <w:szCs w:val="24"/>
        </w:rPr>
      </w:pPr>
      <w:r w:rsidRPr="009E52AD">
        <w:rPr>
          <w:rFonts w:ascii="Book Antiqua" w:hAnsi="Book Antiqua"/>
          <w:sz w:val="24"/>
          <w:szCs w:val="24"/>
        </w:rPr>
        <w:t>Parallèlement à ces œuvres, nous vous recommandons</w:t>
      </w:r>
      <w:r w:rsidR="009E52AD" w:rsidRPr="009E52AD">
        <w:rPr>
          <w:rFonts w:ascii="Book Antiqua" w:hAnsi="Book Antiqua"/>
          <w:sz w:val="24"/>
          <w:szCs w:val="24"/>
        </w:rPr>
        <w:t>, dans la liste des lectures conseillées, de p</w:t>
      </w:r>
      <w:r w:rsidR="009E52AD" w:rsidRPr="009E52AD">
        <w:rPr>
          <w:rFonts w:ascii="Book Antiqua" w:hAnsi="Book Antiqua" w:cs="Times New Roman"/>
          <w:sz w:val="24"/>
          <w:szCs w:val="24"/>
        </w:rPr>
        <w:t xml:space="preserve">rivilégier </w:t>
      </w:r>
      <w:r w:rsidR="009E52AD" w:rsidRPr="009E52AD">
        <w:rPr>
          <w:rFonts w:ascii="Book Antiqua" w:hAnsi="Book Antiqua" w:cs="Times New Roman"/>
          <w:i/>
          <w:iCs/>
          <w:sz w:val="24"/>
          <w:szCs w:val="24"/>
        </w:rPr>
        <w:t xml:space="preserve">La controverse </w:t>
      </w:r>
      <w:r w:rsidR="009E52AD" w:rsidRPr="009E52AD">
        <w:rPr>
          <w:rFonts w:ascii="Book Antiqua" w:hAnsi="Book Antiqua" w:cs="Times New Roman"/>
          <w:i/>
          <w:iCs/>
          <w:sz w:val="24"/>
          <w:szCs w:val="24"/>
        </w:rPr>
        <w:t>de Valladolid</w:t>
      </w:r>
      <w:r w:rsidR="009E52AD" w:rsidRPr="009E52AD">
        <w:rPr>
          <w:rFonts w:ascii="Book Antiqua" w:hAnsi="Book Antiqua" w:cs="Times New Roman"/>
          <w:sz w:val="24"/>
          <w:szCs w:val="24"/>
        </w:rPr>
        <w:t xml:space="preserve"> </w:t>
      </w:r>
      <w:r w:rsidR="009E52AD" w:rsidRPr="009E52AD">
        <w:rPr>
          <w:rFonts w:ascii="Book Antiqua" w:hAnsi="Book Antiqua" w:cs="Times New Roman"/>
          <w:sz w:val="24"/>
          <w:szCs w:val="24"/>
        </w:rPr>
        <w:t xml:space="preserve">et </w:t>
      </w:r>
      <w:r w:rsidR="009E52AD" w:rsidRPr="009E52AD">
        <w:rPr>
          <w:rFonts w:ascii="Book Antiqua" w:hAnsi="Book Antiqua" w:cs="Times New Roman"/>
          <w:i/>
          <w:iCs/>
          <w:sz w:val="24"/>
          <w:szCs w:val="24"/>
        </w:rPr>
        <w:t>Cyrano d</w:t>
      </w:r>
      <w:r w:rsidR="009E52AD" w:rsidRPr="009E52AD">
        <w:rPr>
          <w:rFonts w:ascii="Book Antiqua" w:hAnsi="Book Antiqua" w:cs="Times New Roman"/>
          <w:i/>
          <w:iCs/>
          <w:sz w:val="24"/>
          <w:szCs w:val="24"/>
        </w:rPr>
        <w:t>e Bergerac</w:t>
      </w:r>
      <w:r w:rsidR="009E52AD" w:rsidRPr="009E52AD">
        <w:rPr>
          <w:rFonts w:ascii="Book Antiqua" w:hAnsi="Book Antiqua" w:cs="Times New Roman"/>
          <w:sz w:val="24"/>
          <w:szCs w:val="24"/>
        </w:rPr>
        <w:t>, ainsi que le</w:t>
      </w:r>
      <w:r w:rsidR="009E52AD" w:rsidRPr="009E52AD">
        <w:rPr>
          <w:rFonts w:ascii="Book Antiqua" w:hAnsi="Book Antiqua" w:cs="Times New Roman"/>
          <w:sz w:val="24"/>
          <w:szCs w:val="24"/>
        </w:rPr>
        <w:t>s</w:t>
      </w:r>
      <w:r w:rsidR="009E52AD" w:rsidRPr="009E52AD">
        <w:rPr>
          <w:rFonts w:ascii="Book Antiqua" w:hAnsi="Book Antiqua" w:cs="Times New Roman"/>
          <w:sz w:val="24"/>
          <w:szCs w:val="24"/>
        </w:rPr>
        <w:t xml:space="preserve"> pièces de Marivaux</w:t>
      </w:r>
      <w:r w:rsidR="009E52AD">
        <w:rPr>
          <w:rFonts w:ascii="Book Antiqua" w:hAnsi="Book Antiqua" w:cs="Times New Roman"/>
          <w:sz w:val="24"/>
          <w:szCs w:val="24"/>
        </w:rPr>
        <w:t>, qui vous seront fort utiles pour les thèmes de HLP</w:t>
      </w:r>
      <w:r w:rsidR="009E52AD" w:rsidRPr="009E52AD">
        <w:rPr>
          <w:rFonts w:ascii="Book Antiqua" w:hAnsi="Book Antiqua" w:cs="Times New Roman"/>
          <w:sz w:val="24"/>
          <w:szCs w:val="24"/>
        </w:rPr>
        <w:t xml:space="preserve">. </w:t>
      </w:r>
      <w:r w:rsidR="009E52AD" w:rsidRPr="009E52AD">
        <w:rPr>
          <w:rFonts w:ascii="Book Antiqua" w:hAnsi="Book Antiqua" w:cs="Times New Roman"/>
          <w:sz w:val="24"/>
          <w:szCs w:val="24"/>
        </w:rPr>
        <w:t xml:space="preserve"> </w:t>
      </w:r>
    </w:p>
    <w:p w14:paraId="72233B9A" w14:textId="77777777" w:rsidR="00B3067F" w:rsidRPr="009E52AD" w:rsidRDefault="00B3067F" w:rsidP="00B3067F">
      <w:pPr>
        <w:rPr>
          <w:rFonts w:ascii="Book Antiqua" w:hAnsi="Book Antiqua"/>
          <w:sz w:val="24"/>
          <w:szCs w:val="24"/>
        </w:rPr>
      </w:pPr>
      <w:r w:rsidRPr="009E52AD">
        <w:rPr>
          <w:rFonts w:ascii="Book Antiqua" w:hAnsi="Book Antiqua"/>
          <w:sz w:val="24"/>
          <w:szCs w:val="24"/>
        </w:rPr>
        <w:t>N’oubliez pas de garder une trace de vos lectures/visionnages pour vous en servir dans vos futurs travaux !</w:t>
      </w:r>
    </w:p>
    <w:p w14:paraId="4CB28971" w14:textId="77777777" w:rsidR="00B3067F" w:rsidRPr="009E52AD" w:rsidRDefault="00B3067F" w:rsidP="00B3067F">
      <w:pPr>
        <w:rPr>
          <w:rFonts w:ascii="Book Antiqua" w:hAnsi="Book Antiqua"/>
          <w:sz w:val="24"/>
          <w:szCs w:val="24"/>
        </w:rPr>
      </w:pPr>
    </w:p>
    <w:p w14:paraId="784F8FAF" w14:textId="77777777" w:rsidR="00B3067F" w:rsidRPr="009E52AD" w:rsidRDefault="00B3067F" w:rsidP="00B3067F">
      <w:pPr>
        <w:jc w:val="center"/>
        <w:rPr>
          <w:rFonts w:ascii="Book Antiqua" w:hAnsi="Book Antiqua"/>
          <w:sz w:val="24"/>
          <w:szCs w:val="24"/>
        </w:rPr>
      </w:pPr>
      <w:r w:rsidRPr="009E52AD">
        <w:rPr>
          <w:rFonts w:ascii="Book Antiqua" w:hAnsi="Book Antiqua"/>
          <w:sz w:val="24"/>
          <w:szCs w:val="24"/>
        </w:rPr>
        <w:t>Bonnes vacances !</w:t>
      </w:r>
    </w:p>
    <w:p w14:paraId="1F483266" w14:textId="77777777" w:rsidR="00B3067F" w:rsidRPr="009E52AD" w:rsidRDefault="00B3067F" w:rsidP="00B3067F">
      <w:pPr>
        <w:jc w:val="center"/>
        <w:rPr>
          <w:rFonts w:ascii="Book Antiqua" w:hAnsi="Book Antiqua"/>
          <w:sz w:val="24"/>
          <w:szCs w:val="24"/>
        </w:rPr>
      </w:pPr>
    </w:p>
    <w:p w14:paraId="2FC2366B" w14:textId="77777777" w:rsidR="00B3067F" w:rsidRPr="009E52AD" w:rsidRDefault="00B3067F" w:rsidP="00B3067F">
      <w:pPr>
        <w:jc w:val="right"/>
        <w:rPr>
          <w:rFonts w:ascii="Book Antiqua" w:hAnsi="Book Antiqua"/>
          <w:sz w:val="24"/>
          <w:szCs w:val="24"/>
        </w:rPr>
      </w:pPr>
      <w:r w:rsidRPr="009E52AD">
        <w:rPr>
          <w:rFonts w:ascii="Book Antiqua" w:hAnsi="Book Antiqua"/>
          <w:sz w:val="24"/>
          <w:szCs w:val="24"/>
        </w:rPr>
        <w:t>Les professeurs de HLP</w:t>
      </w:r>
    </w:p>
    <w:p w14:paraId="70560807" w14:textId="4FAED2DD" w:rsidR="0016663A" w:rsidRPr="009E52AD" w:rsidRDefault="00B3067F" w:rsidP="00B3067F">
      <w:pPr>
        <w:jc w:val="right"/>
        <w:rPr>
          <w:rFonts w:ascii="Book Antiqua" w:hAnsi="Book Antiqua"/>
          <w:sz w:val="24"/>
          <w:szCs w:val="24"/>
        </w:rPr>
      </w:pPr>
      <w:r w:rsidRPr="009E52AD">
        <w:rPr>
          <w:rFonts w:ascii="Book Antiqua" w:hAnsi="Book Antiqua"/>
          <w:sz w:val="24"/>
          <w:szCs w:val="24"/>
        </w:rPr>
        <w:t xml:space="preserve">Mmes Bernardi, De Potter, </w:t>
      </w:r>
      <w:proofErr w:type="spellStart"/>
      <w:r w:rsidR="009E52AD">
        <w:rPr>
          <w:rFonts w:ascii="Book Antiqua" w:hAnsi="Book Antiqua"/>
          <w:sz w:val="24"/>
          <w:szCs w:val="24"/>
        </w:rPr>
        <w:t>Everhard</w:t>
      </w:r>
      <w:proofErr w:type="spellEnd"/>
      <w:r w:rsidR="009E52AD">
        <w:rPr>
          <w:rFonts w:ascii="Book Antiqua" w:hAnsi="Book Antiqua"/>
          <w:sz w:val="24"/>
          <w:szCs w:val="24"/>
        </w:rPr>
        <w:t xml:space="preserve">, </w:t>
      </w:r>
      <w:r w:rsidRPr="009E52AD">
        <w:rPr>
          <w:rFonts w:ascii="Book Antiqua" w:hAnsi="Book Antiqua"/>
          <w:sz w:val="24"/>
          <w:szCs w:val="24"/>
        </w:rPr>
        <w:t>Nail</w:t>
      </w:r>
    </w:p>
    <w:sectPr w:rsidR="0016663A" w:rsidRPr="009E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551EE"/>
    <w:multiLevelType w:val="hybridMultilevel"/>
    <w:tmpl w:val="8116C026"/>
    <w:lvl w:ilvl="0" w:tplc="564279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8488D"/>
    <w:multiLevelType w:val="hybridMultilevel"/>
    <w:tmpl w:val="4FA03FBC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7F"/>
    <w:rsid w:val="002A4CE6"/>
    <w:rsid w:val="00550515"/>
    <w:rsid w:val="005F23F3"/>
    <w:rsid w:val="009E52AD"/>
    <w:rsid w:val="00B3067F"/>
    <w:rsid w:val="00BA3316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C560"/>
  <w15:chartTrackingRefBased/>
  <w15:docId w15:val="{DC13D8E2-B35D-4B67-9527-8BD96AFE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6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0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Bernardi</dc:creator>
  <cp:keywords/>
  <dc:description/>
  <cp:lastModifiedBy>Adrienne Bernardi</cp:lastModifiedBy>
  <cp:revision>1</cp:revision>
  <dcterms:created xsi:type="dcterms:W3CDTF">2020-06-25T14:23:00Z</dcterms:created>
  <dcterms:modified xsi:type="dcterms:W3CDTF">2020-06-25T14:47:00Z</dcterms:modified>
</cp:coreProperties>
</file>